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0627" w:rsidRDefault="00D353DC">
      <w:pPr>
        <w:pStyle w:val="Textoindependiente"/>
        <w:spacing w:before="91" w:line="300" w:lineRule="auto"/>
        <w:ind w:left="120" w:right="6178"/>
      </w:pPr>
      <w:r>
        <w:t>Universidad de Colima</w:t>
      </w:r>
      <w:r>
        <w:rPr>
          <w:spacing w:val="1"/>
        </w:rPr>
        <w:t xml:space="preserve"> </w:t>
      </w:r>
      <w:r>
        <w:t>Coordinación</w:t>
      </w:r>
      <w:r>
        <w:rPr>
          <w:spacing w:val="-6"/>
        </w:rPr>
        <w:t xml:space="preserve"> </w:t>
      </w:r>
      <w:r>
        <w:t>General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Docencia</w:t>
      </w:r>
    </w:p>
    <w:p w:rsidR="00610627" w:rsidRDefault="00D353DC">
      <w:pPr>
        <w:pStyle w:val="Textoindependiente"/>
        <w:spacing w:line="264" w:lineRule="exact"/>
        <w:ind w:left="120"/>
      </w:pPr>
      <w:r>
        <w:t>Dirección</w:t>
      </w:r>
      <w:r>
        <w:rPr>
          <w:spacing w:val="-4"/>
        </w:rPr>
        <w:t xml:space="preserve"> </w:t>
      </w:r>
      <w:r>
        <w:t>General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Desarrollo</w:t>
      </w:r>
      <w:r>
        <w:rPr>
          <w:spacing w:val="-2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Personal</w:t>
      </w:r>
      <w:r>
        <w:rPr>
          <w:spacing w:val="-2"/>
        </w:rPr>
        <w:t xml:space="preserve"> </w:t>
      </w:r>
      <w:r>
        <w:t>Académico.</w:t>
      </w:r>
    </w:p>
    <w:p w:rsidR="00610627" w:rsidRDefault="00610627">
      <w:pPr>
        <w:pStyle w:val="Textoindependiente"/>
      </w:pPr>
    </w:p>
    <w:p w:rsidR="00610627" w:rsidRPr="004579F9" w:rsidRDefault="0020463C">
      <w:pPr>
        <w:pStyle w:val="Ttulo"/>
        <w:rPr>
          <w:rFonts w:ascii="Proxima Nova" w:eastAsia="Proxima Nova" w:hAnsi="Proxima Nova" w:cs="Proxima Nova"/>
          <w:b w:val="0"/>
          <w:bCs w:val="0"/>
          <w:color w:val="039BE5"/>
          <w:sz w:val="48"/>
          <w:szCs w:val="48"/>
          <w:lang w:val="es" w:eastAsia="es-MX"/>
        </w:rPr>
      </w:pPr>
      <w:r>
        <w:rPr>
          <w:rFonts w:ascii="Proxima Nova" w:eastAsia="Proxima Nova" w:hAnsi="Proxima Nova" w:cs="Proxima Nova"/>
          <w:b w:val="0"/>
          <w:bCs w:val="0"/>
          <w:color w:val="039BE5"/>
          <w:sz w:val="48"/>
          <w:szCs w:val="48"/>
          <w:lang w:val="es" w:eastAsia="es-MX"/>
        </w:rPr>
        <w:t>Taller</w:t>
      </w:r>
    </w:p>
    <w:p w:rsidR="0020463C" w:rsidRPr="0020463C" w:rsidRDefault="0020463C" w:rsidP="0020463C">
      <w:pPr>
        <w:pStyle w:val="Textoindependiente"/>
        <w:spacing w:before="10"/>
        <w:jc w:val="both"/>
        <w:rPr>
          <w:rFonts w:ascii="Proxima Nova" w:eastAsia="Proxima Nova" w:hAnsi="Proxima Nova" w:cs="Proxima Nova"/>
          <w:b/>
          <w:color w:val="404040"/>
          <w:sz w:val="40"/>
          <w:szCs w:val="60"/>
          <w:lang w:val="es" w:eastAsia="es-MX"/>
        </w:rPr>
      </w:pPr>
      <w:r w:rsidRPr="0020463C">
        <w:rPr>
          <w:rFonts w:ascii="Proxima Nova" w:eastAsia="Proxima Nova" w:hAnsi="Proxima Nova" w:cs="Proxima Nova"/>
          <w:b/>
          <w:color w:val="404040"/>
          <w:sz w:val="40"/>
          <w:szCs w:val="60"/>
          <w:lang w:val="es" w:eastAsia="es-MX"/>
        </w:rPr>
        <w:t>"El método de caso</w:t>
      </w:r>
    </w:p>
    <w:p w:rsidR="00300559" w:rsidRPr="00300559" w:rsidRDefault="0020463C" w:rsidP="0020463C">
      <w:pPr>
        <w:pStyle w:val="Textoindependiente"/>
        <w:spacing w:before="10"/>
        <w:jc w:val="both"/>
        <w:rPr>
          <w:rFonts w:ascii="Proxima Nova" w:eastAsia="Proxima Nova" w:hAnsi="Proxima Nova" w:cs="Proxima Nova"/>
          <w:b/>
          <w:color w:val="404040"/>
          <w:sz w:val="40"/>
          <w:szCs w:val="60"/>
          <w:lang w:val="es" w:eastAsia="es-MX"/>
        </w:rPr>
      </w:pPr>
      <w:r w:rsidRPr="0020463C">
        <w:rPr>
          <w:rFonts w:ascii="Proxima Nova" w:eastAsia="Proxima Nova" w:hAnsi="Proxima Nova" w:cs="Proxima Nova"/>
          <w:b/>
          <w:color w:val="404040"/>
          <w:sz w:val="40"/>
          <w:szCs w:val="60"/>
          <w:lang w:val="es" w:eastAsia="es-MX"/>
        </w:rPr>
        <w:t>como estrategia en la enseñanza</w:t>
      </w:r>
      <w:r w:rsidR="00300559">
        <w:rPr>
          <w:rFonts w:ascii="Proxima Nova" w:eastAsia="Proxima Nova" w:hAnsi="Proxima Nova" w:cs="Proxima Nova"/>
          <w:b/>
          <w:color w:val="404040"/>
          <w:sz w:val="40"/>
          <w:szCs w:val="60"/>
          <w:lang w:val="es" w:eastAsia="es-MX"/>
        </w:rPr>
        <w:t>”</w:t>
      </w:r>
    </w:p>
    <w:p w:rsidR="00610627" w:rsidRDefault="00D353DC">
      <w:pPr>
        <w:spacing w:after="3"/>
        <w:ind w:left="120"/>
        <w:rPr>
          <w:rFonts w:ascii="Tahoma"/>
          <w:sz w:val="36"/>
        </w:rPr>
      </w:pPr>
      <w:r>
        <w:rPr>
          <w:rFonts w:ascii="Tahoma"/>
          <w:color w:val="039BE4"/>
          <w:sz w:val="36"/>
        </w:rPr>
        <w:t>Evidencias</w:t>
      </w:r>
      <w:r>
        <w:rPr>
          <w:rFonts w:ascii="Tahoma"/>
          <w:color w:val="039BE4"/>
          <w:spacing w:val="-3"/>
          <w:sz w:val="36"/>
        </w:rPr>
        <w:t xml:space="preserve"> </w:t>
      </w:r>
      <w:r>
        <w:rPr>
          <w:rFonts w:ascii="Tahoma"/>
          <w:color w:val="039BE4"/>
          <w:sz w:val="36"/>
        </w:rPr>
        <w:t>de</w:t>
      </w:r>
      <w:r>
        <w:rPr>
          <w:rFonts w:ascii="Tahoma"/>
          <w:color w:val="039BE4"/>
          <w:spacing w:val="-3"/>
          <w:sz w:val="36"/>
        </w:rPr>
        <w:t xml:space="preserve"> </w:t>
      </w:r>
      <w:r>
        <w:rPr>
          <w:rFonts w:ascii="Tahoma"/>
          <w:color w:val="039BE4"/>
          <w:sz w:val="36"/>
        </w:rPr>
        <w:t>aprendizaje</w:t>
      </w:r>
    </w:p>
    <w:tbl>
      <w:tblPr>
        <w:tblStyle w:val="TableNormal"/>
        <w:tblW w:w="0" w:type="auto"/>
        <w:tblInd w:w="130" w:type="dxa"/>
        <w:tblBorders>
          <w:top w:val="single" w:sz="8" w:space="0" w:color="F3F3F3"/>
          <w:left w:val="single" w:sz="8" w:space="0" w:color="F3F3F3"/>
          <w:bottom w:val="single" w:sz="8" w:space="0" w:color="F3F3F3"/>
          <w:right w:val="single" w:sz="8" w:space="0" w:color="F3F3F3"/>
          <w:insideH w:val="single" w:sz="8" w:space="0" w:color="F3F3F3"/>
          <w:insideV w:val="single" w:sz="8" w:space="0" w:color="F3F3F3"/>
        </w:tblBorders>
        <w:tblLayout w:type="fixed"/>
        <w:tblLook w:val="01E0" w:firstRow="1" w:lastRow="1" w:firstColumn="1" w:lastColumn="1" w:noHBand="0" w:noVBand="0"/>
      </w:tblPr>
      <w:tblGrid>
        <w:gridCol w:w="3566"/>
        <w:gridCol w:w="2990"/>
        <w:gridCol w:w="1591"/>
        <w:gridCol w:w="1215"/>
      </w:tblGrid>
      <w:tr w:rsidR="00610627" w:rsidTr="0020463C">
        <w:trPr>
          <w:trHeight w:val="784"/>
        </w:trPr>
        <w:tc>
          <w:tcPr>
            <w:tcW w:w="3566" w:type="dxa"/>
          </w:tcPr>
          <w:p w:rsidR="00610627" w:rsidRDefault="00D353DC">
            <w:pPr>
              <w:pStyle w:val="TableParagraph"/>
              <w:ind w:left="1290" w:right="554" w:hanging="713"/>
              <w:rPr>
                <w:b/>
                <w:sz w:val="24"/>
              </w:rPr>
            </w:pPr>
            <w:r>
              <w:rPr>
                <w:b/>
                <w:sz w:val="24"/>
              </w:rPr>
              <w:t>Evidencias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productos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51"/>
                <w:sz w:val="24"/>
              </w:rPr>
              <w:t xml:space="preserve"> </w:t>
            </w:r>
            <w:r>
              <w:rPr>
                <w:b/>
                <w:sz w:val="24"/>
              </w:rPr>
              <w:t>aprendizaje</w:t>
            </w:r>
          </w:p>
        </w:tc>
        <w:tc>
          <w:tcPr>
            <w:tcW w:w="2990" w:type="dxa"/>
          </w:tcPr>
          <w:p w:rsidR="00610627" w:rsidRDefault="00D353DC">
            <w:pPr>
              <w:pStyle w:val="TableParagraph"/>
              <w:ind w:left="258"/>
              <w:rPr>
                <w:b/>
                <w:sz w:val="24"/>
              </w:rPr>
            </w:pPr>
            <w:r>
              <w:rPr>
                <w:b/>
                <w:sz w:val="24"/>
              </w:rPr>
              <w:t>Criterios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evaluación</w:t>
            </w:r>
          </w:p>
        </w:tc>
        <w:tc>
          <w:tcPr>
            <w:tcW w:w="1591" w:type="dxa"/>
          </w:tcPr>
          <w:p w:rsidR="00610627" w:rsidRDefault="00D353DC">
            <w:pPr>
              <w:pStyle w:val="TableParagraph"/>
              <w:ind w:left="409" w:right="317" w:hanging="58"/>
              <w:rPr>
                <w:b/>
                <w:sz w:val="24"/>
              </w:rPr>
            </w:pPr>
            <w:r>
              <w:rPr>
                <w:b/>
                <w:sz w:val="24"/>
              </w:rPr>
              <w:t>Fecha de</w:t>
            </w:r>
            <w:r>
              <w:rPr>
                <w:b/>
                <w:spacing w:val="-52"/>
                <w:sz w:val="24"/>
              </w:rPr>
              <w:t xml:space="preserve"> </w:t>
            </w:r>
            <w:r>
              <w:rPr>
                <w:b/>
                <w:sz w:val="24"/>
              </w:rPr>
              <w:t>entrega</w:t>
            </w:r>
          </w:p>
        </w:tc>
        <w:tc>
          <w:tcPr>
            <w:tcW w:w="1215" w:type="dxa"/>
          </w:tcPr>
          <w:p w:rsidR="00610627" w:rsidRDefault="00D353DC">
            <w:pPr>
              <w:pStyle w:val="TableParagraph"/>
              <w:ind w:left="200" w:right="1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Puntaje</w:t>
            </w:r>
          </w:p>
        </w:tc>
      </w:tr>
      <w:tr w:rsidR="00610627" w:rsidTr="0020463C">
        <w:trPr>
          <w:trHeight w:val="654"/>
        </w:trPr>
        <w:tc>
          <w:tcPr>
            <w:tcW w:w="3566" w:type="dxa"/>
          </w:tcPr>
          <w:p w:rsidR="00610627" w:rsidRDefault="0020463C">
            <w:pPr>
              <w:pStyle w:val="TableParagraph"/>
              <w:ind w:right="719"/>
              <w:jc w:val="both"/>
              <w:rPr>
                <w:sz w:val="24"/>
              </w:rPr>
            </w:pPr>
            <w:r>
              <w:rPr>
                <w:sz w:val="24"/>
              </w:rPr>
              <w:t xml:space="preserve">Diseño de un caso. </w:t>
            </w:r>
          </w:p>
        </w:tc>
        <w:tc>
          <w:tcPr>
            <w:tcW w:w="2990" w:type="dxa"/>
          </w:tcPr>
          <w:p w:rsidR="00610627" w:rsidRDefault="0020463C">
            <w:pPr>
              <w:pStyle w:val="TableParagraph"/>
              <w:ind w:left="97" w:right="85"/>
              <w:rPr>
                <w:sz w:val="24"/>
              </w:rPr>
            </w:pPr>
            <w:r>
              <w:rPr>
                <w:sz w:val="24"/>
              </w:rPr>
              <w:t>Claridad en la redacción (20%)</w:t>
            </w:r>
          </w:p>
          <w:p w:rsidR="0020463C" w:rsidRDefault="0020463C">
            <w:pPr>
              <w:pStyle w:val="TableParagraph"/>
              <w:ind w:left="97" w:right="85"/>
              <w:rPr>
                <w:sz w:val="24"/>
              </w:rPr>
            </w:pPr>
            <w:r>
              <w:rPr>
                <w:sz w:val="24"/>
              </w:rPr>
              <w:t>Relevancia del contexto (20%)</w:t>
            </w:r>
          </w:p>
          <w:p w:rsidR="0020463C" w:rsidRDefault="0020463C">
            <w:pPr>
              <w:pStyle w:val="TableParagraph"/>
              <w:ind w:left="97" w:right="85"/>
              <w:rPr>
                <w:sz w:val="24"/>
              </w:rPr>
            </w:pPr>
            <w:r>
              <w:rPr>
                <w:sz w:val="24"/>
              </w:rPr>
              <w:t>Definición del problema (20%)</w:t>
            </w:r>
          </w:p>
          <w:p w:rsidR="0020463C" w:rsidRDefault="0020463C">
            <w:pPr>
              <w:pStyle w:val="TableParagraph"/>
              <w:ind w:left="97" w:right="85"/>
              <w:rPr>
                <w:sz w:val="24"/>
              </w:rPr>
            </w:pPr>
            <w:r>
              <w:rPr>
                <w:sz w:val="24"/>
              </w:rPr>
              <w:t>Originalidad (20%)</w:t>
            </w:r>
          </w:p>
          <w:p w:rsidR="0020463C" w:rsidRDefault="0020463C">
            <w:pPr>
              <w:pStyle w:val="TableParagraph"/>
              <w:ind w:left="97" w:right="85"/>
              <w:rPr>
                <w:sz w:val="24"/>
              </w:rPr>
            </w:pPr>
            <w:r>
              <w:rPr>
                <w:sz w:val="24"/>
              </w:rPr>
              <w:t>Preguntas guía (20%)</w:t>
            </w:r>
          </w:p>
          <w:p w:rsidR="0020463C" w:rsidRDefault="0020463C">
            <w:pPr>
              <w:pStyle w:val="TableParagraph"/>
              <w:ind w:left="97" w:right="85"/>
              <w:rPr>
                <w:sz w:val="24"/>
              </w:rPr>
            </w:pPr>
          </w:p>
        </w:tc>
        <w:tc>
          <w:tcPr>
            <w:tcW w:w="1591" w:type="dxa"/>
          </w:tcPr>
          <w:p w:rsidR="00610627" w:rsidRDefault="00300559">
            <w:pPr>
              <w:pStyle w:val="TableParagraph"/>
              <w:spacing w:before="1"/>
              <w:ind w:right="211"/>
              <w:rPr>
                <w:sz w:val="24"/>
              </w:rPr>
            </w:pPr>
            <w:r>
              <w:rPr>
                <w:sz w:val="24"/>
              </w:rPr>
              <w:t>10 de julio de 2026</w:t>
            </w:r>
            <w:bookmarkStart w:id="0" w:name="_GoBack"/>
            <w:bookmarkEnd w:id="0"/>
          </w:p>
        </w:tc>
        <w:tc>
          <w:tcPr>
            <w:tcW w:w="1215" w:type="dxa"/>
          </w:tcPr>
          <w:p w:rsidR="00610627" w:rsidRDefault="0020463C">
            <w:pPr>
              <w:pStyle w:val="TableParagraph"/>
              <w:spacing w:before="0"/>
              <w:ind w:left="200" w:right="184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</w:tbl>
    <w:p w:rsidR="00610627" w:rsidRDefault="00610627">
      <w:pPr>
        <w:pStyle w:val="Textoindependiente"/>
        <w:rPr>
          <w:sz w:val="20"/>
        </w:rPr>
      </w:pPr>
    </w:p>
    <w:p w:rsidR="00610627" w:rsidRDefault="00610627">
      <w:pPr>
        <w:pStyle w:val="Textoindependiente"/>
        <w:rPr>
          <w:sz w:val="20"/>
        </w:rPr>
      </w:pPr>
    </w:p>
    <w:p w:rsidR="00610627" w:rsidRDefault="00610627">
      <w:pPr>
        <w:pStyle w:val="Textoindependiente"/>
        <w:rPr>
          <w:sz w:val="24"/>
        </w:rPr>
      </w:pPr>
    </w:p>
    <w:p w:rsidR="00610627" w:rsidRDefault="00D353DC">
      <w:pPr>
        <w:pStyle w:val="Textoindependiente"/>
        <w:spacing w:line="90" w:lineRule="exact"/>
        <w:ind w:left="120"/>
        <w:rPr>
          <w:sz w:val="9"/>
        </w:rPr>
      </w:pPr>
      <w:r>
        <w:rPr>
          <w:noProof/>
          <w:position w:val="-1"/>
          <w:sz w:val="9"/>
        </w:rPr>
        <w:drawing>
          <wp:inline distT="0" distB="0" distL="0" distR="0">
            <wp:extent cx="447675" cy="57150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5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0627" w:rsidRDefault="00D353DC">
      <w:pPr>
        <w:spacing w:before="60"/>
        <w:ind w:left="120"/>
        <w:rPr>
          <w:rFonts w:ascii="Tahoma"/>
          <w:sz w:val="36"/>
        </w:rPr>
      </w:pPr>
      <w:r>
        <w:rPr>
          <w:rFonts w:ascii="Tahoma"/>
          <w:color w:val="039BE4"/>
          <w:sz w:val="36"/>
        </w:rPr>
        <w:t>Actividades</w:t>
      </w:r>
      <w:r>
        <w:rPr>
          <w:rFonts w:ascii="Tahoma"/>
          <w:color w:val="039BE4"/>
          <w:spacing w:val="-3"/>
          <w:sz w:val="36"/>
        </w:rPr>
        <w:t xml:space="preserve"> </w:t>
      </w:r>
      <w:r>
        <w:rPr>
          <w:rFonts w:ascii="Tahoma"/>
          <w:color w:val="039BE4"/>
          <w:sz w:val="36"/>
        </w:rPr>
        <w:t>de</w:t>
      </w:r>
      <w:r>
        <w:rPr>
          <w:rFonts w:ascii="Tahoma"/>
          <w:color w:val="039BE4"/>
          <w:spacing w:val="-3"/>
          <w:sz w:val="36"/>
        </w:rPr>
        <w:t xml:space="preserve"> </w:t>
      </w:r>
      <w:r>
        <w:rPr>
          <w:rFonts w:ascii="Tahoma"/>
          <w:color w:val="039BE4"/>
          <w:sz w:val="36"/>
        </w:rPr>
        <w:t>aprendizaje</w:t>
      </w:r>
    </w:p>
    <w:tbl>
      <w:tblPr>
        <w:tblStyle w:val="TableNormal"/>
        <w:tblW w:w="0" w:type="auto"/>
        <w:tblInd w:w="140" w:type="dxa"/>
        <w:tblBorders>
          <w:top w:val="single" w:sz="8" w:space="0" w:color="F3F3F3"/>
          <w:left w:val="single" w:sz="8" w:space="0" w:color="F3F3F3"/>
          <w:bottom w:val="single" w:sz="8" w:space="0" w:color="F3F3F3"/>
          <w:right w:val="single" w:sz="8" w:space="0" w:color="F3F3F3"/>
          <w:insideH w:val="single" w:sz="8" w:space="0" w:color="F3F3F3"/>
          <w:insideV w:val="single" w:sz="8" w:space="0" w:color="F3F3F3"/>
        </w:tblBorders>
        <w:tblLayout w:type="fixed"/>
        <w:tblLook w:val="01E0" w:firstRow="1" w:lastRow="1" w:firstColumn="1" w:lastColumn="1" w:noHBand="0" w:noVBand="0"/>
      </w:tblPr>
      <w:tblGrid>
        <w:gridCol w:w="3819"/>
        <w:gridCol w:w="4103"/>
        <w:gridCol w:w="1441"/>
      </w:tblGrid>
      <w:tr w:rsidR="00610627">
        <w:trPr>
          <w:trHeight w:val="786"/>
        </w:trPr>
        <w:tc>
          <w:tcPr>
            <w:tcW w:w="3819" w:type="dxa"/>
          </w:tcPr>
          <w:p w:rsidR="00610627" w:rsidRDefault="00D353DC">
            <w:pPr>
              <w:pStyle w:val="TableParagraph"/>
              <w:ind w:left="1324" w:right="671" w:hanging="617"/>
              <w:rPr>
                <w:b/>
                <w:sz w:val="24"/>
              </w:rPr>
            </w:pPr>
            <w:r>
              <w:rPr>
                <w:b/>
                <w:sz w:val="24"/>
              </w:rPr>
              <w:t>Evidencia o producto de</w:t>
            </w:r>
            <w:r>
              <w:rPr>
                <w:b/>
                <w:spacing w:val="-52"/>
                <w:sz w:val="24"/>
              </w:rPr>
              <w:t xml:space="preserve"> </w:t>
            </w:r>
            <w:r>
              <w:rPr>
                <w:b/>
                <w:sz w:val="24"/>
              </w:rPr>
              <w:t>aprendizaje</w:t>
            </w:r>
          </w:p>
        </w:tc>
        <w:tc>
          <w:tcPr>
            <w:tcW w:w="4103" w:type="dxa"/>
          </w:tcPr>
          <w:p w:rsidR="00610627" w:rsidRDefault="00D353DC">
            <w:pPr>
              <w:pStyle w:val="TableParagraph"/>
              <w:ind w:left="1468" w:right="621" w:hanging="809"/>
              <w:rPr>
                <w:b/>
                <w:sz w:val="24"/>
              </w:rPr>
            </w:pPr>
            <w:r>
              <w:rPr>
                <w:b/>
                <w:sz w:val="24"/>
              </w:rPr>
              <w:t>Contenidos y actividades de</w:t>
            </w:r>
            <w:r>
              <w:rPr>
                <w:b/>
                <w:spacing w:val="-53"/>
                <w:sz w:val="24"/>
              </w:rPr>
              <w:t xml:space="preserve"> </w:t>
            </w:r>
            <w:r>
              <w:rPr>
                <w:b/>
                <w:sz w:val="24"/>
              </w:rPr>
              <w:t>aprendizaje</w:t>
            </w:r>
          </w:p>
        </w:tc>
        <w:tc>
          <w:tcPr>
            <w:tcW w:w="1441" w:type="dxa"/>
          </w:tcPr>
          <w:p w:rsidR="00610627" w:rsidRDefault="00D353DC">
            <w:pPr>
              <w:pStyle w:val="TableParagraph"/>
              <w:ind w:left="253" w:right="217" w:firstLine="88"/>
              <w:rPr>
                <w:b/>
                <w:sz w:val="24"/>
              </w:rPr>
            </w:pPr>
            <w:r>
              <w:rPr>
                <w:b/>
                <w:sz w:val="24"/>
              </w:rPr>
              <w:t>Tiempo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estimado</w:t>
            </w:r>
          </w:p>
        </w:tc>
      </w:tr>
      <w:tr w:rsidR="00610627" w:rsidTr="004579F9">
        <w:trPr>
          <w:trHeight w:val="514"/>
        </w:trPr>
        <w:tc>
          <w:tcPr>
            <w:tcW w:w="3819" w:type="dxa"/>
          </w:tcPr>
          <w:p w:rsidR="00610627" w:rsidRDefault="0020463C">
            <w:pPr>
              <w:pStyle w:val="TableParagraph"/>
              <w:spacing w:before="1"/>
              <w:ind w:right="436"/>
              <w:rPr>
                <w:sz w:val="24"/>
              </w:rPr>
            </w:pPr>
            <w:r>
              <w:rPr>
                <w:sz w:val="24"/>
              </w:rPr>
              <w:t>Conferencia magistral</w:t>
            </w:r>
          </w:p>
        </w:tc>
        <w:tc>
          <w:tcPr>
            <w:tcW w:w="4103" w:type="dxa"/>
          </w:tcPr>
          <w:p w:rsidR="00610627" w:rsidRDefault="0020463C">
            <w:pPr>
              <w:pStyle w:val="TableParagraph"/>
              <w:spacing w:before="0" w:line="480" w:lineRule="auto"/>
              <w:ind w:right="680"/>
              <w:rPr>
                <w:sz w:val="24"/>
              </w:rPr>
            </w:pPr>
            <w:r>
              <w:rPr>
                <w:sz w:val="24"/>
              </w:rPr>
              <w:t>Comprensión del concepto de caso</w:t>
            </w:r>
          </w:p>
        </w:tc>
        <w:tc>
          <w:tcPr>
            <w:tcW w:w="1441" w:type="dxa"/>
          </w:tcPr>
          <w:p w:rsidR="00610627" w:rsidRDefault="00300559">
            <w:pPr>
              <w:pStyle w:val="TableParagraph"/>
              <w:ind w:left="270" w:right="245" w:firstLine="21"/>
              <w:rPr>
                <w:sz w:val="24"/>
              </w:rPr>
            </w:pPr>
            <w:r>
              <w:rPr>
                <w:sz w:val="24"/>
              </w:rPr>
              <w:t>4</w:t>
            </w:r>
            <w:r w:rsidR="0020463C">
              <w:rPr>
                <w:sz w:val="24"/>
              </w:rPr>
              <w:t xml:space="preserve"> horas</w:t>
            </w:r>
          </w:p>
        </w:tc>
      </w:tr>
      <w:tr w:rsidR="0020463C" w:rsidTr="004579F9">
        <w:trPr>
          <w:trHeight w:val="514"/>
        </w:trPr>
        <w:tc>
          <w:tcPr>
            <w:tcW w:w="3819" w:type="dxa"/>
          </w:tcPr>
          <w:p w:rsidR="0020463C" w:rsidRDefault="0020463C">
            <w:pPr>
              <w:pStyle w:val="TableParagraph"/>
              <w:spacing w:before="1"/>
              <w:ind w:right="436"/>
              <w:rPr>
                <w:sz w:val="24"/>
              </w:rPr>
            </w:pPr>
            <w:r>
              <w:rPr>
                <w:sz w:val="24"/>
              </w:rPr>
              <w:t>Diseño y presentación de caso</w:t>
            </w:r>
          </w:p>
        </w:tc>
        <w:tc>
          <w:tcPr>
            <w:tcW w:w="4103" w:type="dxa"/>
          </w:tcPr>
          <w:p w:rsidR="0020463C" w:rsidRDefault="0020463C">
            <w:pPr>
              <w:pStyle w:val="TableParagraph"/>
              <w:spacing w:before="0" w:line="480" w:lineRule="auto"/>
              <w:ind w:right="680"/>
              <w:rPr>
                <w:sz w:val="24"/>
              </w:rPr>
            </w:pPr>
            <w:r>
              <w:rPr>
                <w:sz w:val="24"/>
              </w:rPr>
              <w:t>Redacción y estructura de un caso</w:t>
            </w:r>
          </w:p>
        </w:tc>
        <w:tc>
          <w:tcPr>
            <w:tcW w:w="1441" w:type="dxa"/>
          </w:tcPr>
          <w:p w:rsidR="0020463C" w:rsidRDefault="0020463C">
            <w:pPr>
              <w:pStyle w:val="TableParagraph"/>
              <w:ind w:left="270" w:right="245" w:firstLine="21"/>
              <w:rPr>
                <w:sz w:val="24"/>
              </w:rPr>
            </w:pPr>
            <w:r>
              <w:rPr>
                <w:sz w:val="24"/>
              </w:rPr>
              <w:t>4 horas</w:t>
            </w:r>
          </w:p>
        </w:tc>
      </w:tr>
    </w:tbl>
    <w:p w:rsidR="00610627" w:rsidRDefault="00610627">
      <w:pPr>
        <w:pStyle w:val="Textoindependiente"/>
        <w:spacing w:before="11"/>
        <w:rPr>
          <w:sz w:val="35"/>
        </w:rPr>
      </w:pPr>
    </w:p>
    <w:p w:rsidR="0020463C" w:rsidRDefault="0020463C">
      <w:pPr>
        <w:pStyle w:val="Textoindependiente"/>
        <w:spacing w:before="11"/>
        <w:rPr>
          <w:sz w:val="35"/>
        </w:rPr>
      </w:pPr>
    </w:p>
    <w:p w:rsidR="0020463C" w:rsidRDefault="0020463C">
      <w:pPr>
        <w:pStyle w:val="Textoindependiente"/>
        <w:spacing w:before="11"/>
        <w:rPr>
          <w:sz w:val="35"/>
        </w:rPr>
      </w:pPr>
    </w:p>
    <w:p w:rsidR="0020463C" w:rsidRDefault="0020463C">
      <w:pPr>
        <w:pStyle w:val="Textoindependiente"/>
        <w:spacing w:before="11"/>
        <w:rPr>
          <w:sz w:val="35"/>
        </w:rPr>
      </w:pPr>
    </w:p>
    <w:p w:rsidR="0020463C" w:rsidRDefault="0020463C">
      <w:pPr>
        <w:pStyle w:val="Textoindependiente"/>
        <w:spacing w:before="11"/>
        <w:rPr>
          <w:sz w:val="35"/>
        </w:rPr>
      </w:pPr>
    </w:p>
    <w:p w:rsidR="00610627" w:rsidRDefault="00D353DC">
      <w:pPr>
        <w:ind w:left="120"/>
        <w:rPr>
          <w:rFonts w:ascii="Tahoma"/>
          <w:sz w:val="36"/>
        </w:rPr>
      </w:pPr>
      <w:r>
        <w:rPr>
          <w:rFonts w:ascii="Tahoma"/>
          <w:color w:val="039BE4"/>
          <w:sz w:val="36"/>
        </w:rPr>
        <w:lastRenderedPageBreak/>
        <w:t>Facilitadores(as)</w:t>
      </w:r>
    </w:p>
    <w:tbl>
      <w:tblPr>
        <w:tblStyle w:val="TableNormal"/>
        <w:tblW w:w="0" w:type="auto"/>
        <w:tblInd w:w="140" w:type="dxa"/>
        <w:tblBorders>
          <w:top w:val="single" w:sz="8" w:space="0" w:color="F3F3F3"/>
          <w:left w:val="single" w:sz="8" w:space="0" w:color="F3F3F3"/>
          <w:bottom w:val="single" w:sz="8" w:space="0" w:color="F3F3F3"/>
          <w:right w:val="single" w:sz="8" w:space="0" w:color="F3F3F3"/>
          <w:insideH w:val="single" w:sz="8" w:space="0" w:color="F3F3F3"/>
          <w:insideV w:val="single" w:sz="8" w:space="0" w:color="F3F3F3"/>
        </w:tblBorders>
        <w:tblLayout w:type="fixed"/>
        <w:tblLook w:val="01E0" w:firstRow="1" w:lastRow="1" w:firstColumn="1" w:lastColumn="1" w:noHBand="0" w:noVBand="0"/>
      </w:tblPr>
      <w:tblGrid>
        <w:gridCol w:w="9362"/>
      </w:tblGrid>
      <w:tr w:rsidR="00610627">
        <w:trPr>
          <w:trHeight w:val="493"/>
        </w:trPr>
        <w:tc>
          <w:tcPr>
            <w:tcW w:w="9362" w:type="dxa"/>
          </w:tcPr>
          <w:p w:rsidR="00610627" w:rsidRDefault="00D353DC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Nombre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r w:rsidR="0020463C">
              <w:rPr>
                <w:spacing w:val="-2"/>
                <w:sz w:val="24"/>
              </w:rPr>
              <w:t xml:space="preserve">Mario de la Madrid Andrade </w:t>
            </w:r>
          </w:p>
        </w:tc>
      </w:tr>
      <w:tr w:rsidR="00610627">
        <w:trPr>
          <w:trHeight w:val="491"/>
        </w:trPr>
        <w:tc>
          <w:tcPr>
            <w:tcW w:w="9362" w:type="dxa"/>
          </w:tcPr>
          <w:p w:rsidR="00610627" w:rsidRDefault="00D353DC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Grado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académico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área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estudio</w:t>
            </w:r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 xml:space="preserve"> </w:t>
            </w:r>
            <w:r w:rsidR="0020463C">
              <w:rPr>
                <w:spacing w:val="-3"/>
                <w:sz w:val="24"/>
              </w:rPr>
              <w:t>Doctor en Derecho</w:t>
            </w:r>
          </w:p>
        </w:tc>
      </w:tr>
      <w:tr w:rsidR="00610627">
        <w:trPr>
          <w:trHeight w:val="786"/>
        </w:trPr>
        <w:tc>
          <w:tcPr>
            <w:tcW w:w="9362" w:type="dxa"/>
          </w:tcPr>
          <w:p w:rsidR="00610627" w:rsidRDefault="00D353DC">
            <w:pPr>
              <w:pStyle w:val="TableParagraph"/>
              <w:ind w:right="122"/>
              <w:rPr>
                <w:sz w:val="24"/>
              </w:rPr>
            </w:pPr>
            <w:r>
              <w:rPr>
                <w:b/>
                <w:sz w:val="24"/>
              </w:rPr>
              <w:t>Datos de contacto</w:t>
            </w:r>
            <w:r>
              <w:rPr>
                <w:sz w:val="24"/>
              </w:rPr>
              <w:t xml:space="preserve">: </w:t>
            </w:r>
            <w:r w:rsidR="0020463C">
              <w:rPr>
                <w:sz w:val="24"/>
              </w:rPr>
              <w:t xml:space="preserve"> </w:t>
            </w:r>
            <w:r w:rsidR="0020463C" w:rsidRPr="0020463C">
              <w:rPr>
                <w:sz w:val="24"/>
              </w:rPr>
              <w:t>delama@ucol.mx</w:t>
            </w:r>
          </w:p>
        </w:tc>
      </w:tr>
      <w:tr w:rsidR="00610627">
        <w:trPr>
          <w:trHeight w:val="786"/>
        </w:trPr>
        <w:tc>
          <w:tcPr>
            <w:tcW w:w="9362" w:type="dxa"/>
          </w:tcPr>
          <w:p w:rsidR="00610627" w:rsidRDefault="00D353DC" w:rsidP="00C97C33">
            <w:pPr>
              <w:pStyle w:val="TableParagraph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Experiencia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en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b/>
                <w:sz w:val="24"/>
              </w:rPr>
              <w:t>temática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desarrollar</w:t>
            </w:r>
            <w:r w:rsidR="00C97C33" w:rsidRPr="00C97C33">
              <w:rPr>
                <w:sz w:val="24"/>
              </w:rPr>
              <w:t xml:space="preserve"> </w:t>
            </w:r>
            <w:r w:rsidR="00C97C33">
              <w:rPr>
                <w:sz w:val="24"/>
              </w:rPr>
              <w:t>E</w:t>
            </w:r>
            <w:r w:rsidR="00C97C33" w:rsidRPr="00C97C33">
              <w:rPr>
                <w:sz w:val="24"/>
              </w:rPr>
              <w:t>s especialista en el Método de Casos como estrategia de aprendizaje en el ámbito del Derecho, destacándose por su enfoque práctico y dinámico en la enseñanza. Desde la implementación del plan de estudios vigente, imparte las asignaturas de casos en los semestres 8 y 9, donde fomenta en los estudiantes habilidades críticas como el análisis, la resolución de problemas y la toma de decisiones fundamentadas. Su experiencia y metodología integran la teoría jurídica con escenarios reales, preparando a los futuros profesionistas para enfrentar los desafíos del ejercicio legal con una perspectiva ética y práctica.</w:t>
            </w:r>
          </w:p>
        </w:tc>
      </w:tr>
      <w:tr w:rsidR="00610627" w:rsidTr="004579F9">
        <w:trPr>
          <w:trHeight w:val="775"/>
        </w:trPr>
        <w:tc>
          <w:tcPr>
            <w:tcW w:w="9362" w:type="dxa"/>
          </w:tcPr>
          <w:p w:rsidR="00C97C33" w:rsidRPr="00C97C33" w:rsidRDefault="00D353DC" w:rsidP="00C97C33">
            <w:pPr>
              <w:pStyle w:val="TableParagraph"/>
              <w:ind w:right="7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Semblanza</w:t>
            </w:r>
            <w:r>
              <w:rPr>
                <w:sz w:val="24"/>
              </w:rPr>
              <w:t xml:space="preserve">: </w:t>
            </w:r>
            <w:r w:rsidR="00C97C33" w:rsidRPr="00C97C33">
              <w:rPr>
                <w:sz w:val="24"/>
              </w:rPr>
              <w:t>El Dr. Mario de la Madrid Andrade es un destacado académico y jurista con una sólida formación en Derecho. Es Doctor en Derecho por la Universidad Panamericana, con mención honorífica, y cuenta con especialidades en diversas áreas jurídicas, incluyendo Derecho Notarial, Amparo, y Derecho Corporativo. Su labor docente incluye la impartición de clases en programas de maestría y doctorado tanto en México como en el extranjero, destacándose como profesor en el Doctorado Interinstitucional en Derecho de la Región Centro Occidente de la ANUIES.</w:t>
            </w:r>
          </w:p>
          <w:p w:rsidR="00610627" w:rsidRDefault="00C97C33" w:rsidP="00C97C33">
            <w:pPr>
              <w:pStyle w:val="TableParagraph"/>
              <w:ind w:left="0" w:right="77"/>
              <w:jc w:val="both"/>
              <w:rPr>
                <w:sz w:val="24"/>
              </w:rPr>
            </w:pPr>
            <w:r w:rsidRPr="00C97C33">
              <w:rPr>
                <w:sz w:val="24"/>
              </w:rPr>
              <w:t>Es autor de seis libros, varios capítulos de libros y más de 25 artículos en revistas nacionales e internacionales, lo que refleja su compromiso con la investigación y el desarrollo jurídico. Además, ha dictado más de cien conferencias y presentado más de cuarenta ponencias en congresos y seminarios, consolidándose como una figura reconocida en el ámbito académico y profesional del Derecho​</w:t>
            </w:r>
          </w:p>
        </w:tc>
      </w:tr>
      <w:tr w:rsidR="004579F9" w:rsidTr="004579F9">
        <w:trPr>
          <w:trHeight w:val="775"/>
        </w:trPr>
        <w:tc>
          <w:tcPr>
            <w:tcW w:w="9362" w:type="dxa"/>
          </w:tcPr>
          <w:p w:rsidR="004579F9" w:rsidRDefault="004579F9">
            <w:pPr>
              <w:pStyle w:val="TableParagraph"/>
              <w:ind w:right="77"/>
              <w:jc w:val="both"/>
              <w:rPr>
                <w:b/>
                <w:sz w:val="24"/>
              </w:rPr>
            </w:pPr>
            <w:r w:rsidRPr="004579F9">
              <w:rPr>
                <w:b/>
                <w:sz w:val="24"/>
              </w:rPr>
              <w:t>Últimas publicaciones académicas:</w:t>
            </w:r>
          </w:p>
          <w:p w:rsidR="00C97C33" w:rsidRPr="00C97C33" w:rsidRDefault="00C97C33" w:rsidP="00C97C33">
            <w:pPr>
              <w:pStyle w:val="TableParagraph"/>
              <w:ind w:right="77"/>
              <w:jc w:val="both"/>
              <w:rPr>
                <w:sz w:val="24"/>
              </w:rPr>
            </w:pPr>
            <w:r w:rsidRPr="00C97C33">
              <w:rPr>
                <w:sz w:val="24"/>
              </w:rPr>
              <w:t xml:space="preserve">1) La Acción </w:t>
            </w:r>
            <w:proofErr w:type="spellStart"/>
            <w:r w:rsidRPr="00C97C33">
              <w:rPr>
                <w:sz w:val="24"/>
              </w:rPr>
              <w:t>Communi</w:t>
            </w:r>
            <w:proofErr w:type="spellEnd"/>
            <w:r w:rsidRPr="00C97C33">
              <w:rPr>
                <w:sz w:val="24"/>
              </w:rPr>
              <w:t xml:space="preserve"> </w:t>
            </w:r>
            <w:proofErr w:type="spellStart"/>
            <w:r w:rsidRPr="00C97C33">
              <w:rPr>
                <w:sz w:val="24"/>
              </w:rPr>
              <w:t>Dividundo</w:t>
            </w:r>
            <w:proofErr w:type="spellEnd"/>
            <w:r w:rsidRPr="00C97C33">
              <w:rPr>
                <w:sz w:val="24"/>
              </w:rPr>
              <w:t xml:space="preserve"> en la Jurisprudencia, monografía publicada por</w:t>
            </w:r>
          </w:p>
          <w:p w:rsidR="00C97C33" w:rsidRPr="00C97C33" w:rsidRDefault="00C97C33" w:rsidP="00C97C33">
            <w:pPr>
              <w:pStyle w:val="TableParagraph"/>
              <w:ind w:right="77"/>
              <w:jc w:val="both"/>
              <w:rPr>
                <w:sz w:val="24"/>
              </w:rPr>
            </w:pPr>
            <w:r w:rsidRPr="00C97C33">
              <w:rPr>
                <w:sz w:val="24"/>
              </w:rPr>
              <w:t>el Poder Judicial del Estado de Colima y la Academia Colimense de Derecho</w:t>
            </w:r>
          </w:p>
          <w:p w:rsidR="00C97C33" w:rsidRPr="00C97C33" w:rsidRDefault="00C97C33" w:rsidP="00C97C33">
            <w:pPr>
              <w:pStyle w:val="TableParagraph"/>
              <w:ind w:right="77"/>
              <w:jc w:val="both"/>
              <w:rPr>
                <w:sz w:val="24"/>
              </w:rPr>
            </w:pPr>
            <w:r w:rsidRPr="00C97C33">
              <w:rPr>
                <w:sz w:val="24"/>
              </w:rPr>
              <w:t>(2001).</w:t>
            </w:r>
          </w:p>
          <w:p w:rsidR="00C97C33" w:rsidRPr="00C97C33" w:rsidRDefault="00C97C33" w:rsidP="00C97C33">
            <w:pPr>
              <w:pStyle w:val="TableParagraph"/>
              <w:ind w:right="77"/>
              <w:jc w:val="both"/>
              <w:rPr>
                <w:sz w:val="24"/>
              </w:rPr>
            </w:pPr>
            <w:r w:rsidRPr="00C97C33">
              <w:rPr>
                <w:sz w:val="24"/>
              </w:rPr>
              <w:t>2) La Acción Reivindicatoria desde la perspectiva Jurisprudencial, libro publicado</w:t>
            </w:r>
          </w:p>
          <w:p w:rsidR="00C97C33" w:rsidRPr="00C97C33" w:rsidRDefault="00C97C33" w:rsidP="00C97C33">
            <w:pPr>
              <w:pStyle w:val="TableParagraph"/>
              <w:ind w:right="77"/>
              <w:jc w:val="both"/>
              <w:rPr>
                <w:sz w:val="24"/>
              </w:rPr>
            </w:pPr>
            <w:r w:rsidRPr="00C97C33">
              <w:rPr>
                <w:sz w:val="24"/>
              </w:rPr>
              <w:t>por Editorial Porrúa (2002).</w:t>
            </w:r>
          </w:p>
          <w:p w:rsidR="00C97C33" w:rsidRPr="00C97C33" w:rsidRDefault="00C97C33" w:rsidP="00C97C33">
            <w:pPr>
              <w:pStyle w:val="TableParagraph"/>
              <w:ind w:right="77"/>
              <w:jc w:val="both"/>
              <w:rPr>
                <w:sz w:val="24"/>
              </w:rPr>
            </w:pPr>
            <w:r w:rsidRPr="00C97C33">
              <w:rPr>
                <w:sz w:val="24"/>
              </w:rPr>
              <w:t xml:space="preserve">3) El </w:t>
            </w:r>
            <w:proofErr w:type="spellStart"/>
            <w:r w:rsidRPr="00C97C33">
              <w:rPr>
                <w:sz w:val="24"/>
              </w:rPr>
              <w:t>Joint</w:t>
            </w:r>
            <w:proofErr w:type="spellEnd"/>
            <w:r w:rsidRPr="00C97C33">
              <w:rPr>
                <w:sz w:val="24"/>
              </w:rPr>
              <w:t xml:space="preserve"> Venture. Los Negocios Jurídicos Relacionados, Porrúa, México 2005.</w:t>
            </w:r>
          </w:p>
          <w:p w:rsidR="00C97C33" w:rsidRPr="00C97C33" w:rsidRDefault="00C97C33" w:rsidP="00C97C33">
            <w:pPr>
              <w:pStyle w:val="TableParagraph"/>
              <w:ind w:right="77"/>
              <w:jc w:val="both"/>
              <w:rPr>
                <w:sz w:val="24"/>
              </w:rPr>
            </w:pPr>
            <w:r w:rsidRPr="00C97C33">
              <w:rPr>
                <w:sz w:val="24"/>
              </w:rPr>
              <w:t>4) Derecho Procesal. Temas Diversos, Universidad de Colima, México 2008, del</w:t>
            </w:r>
          </w:p>
          <w:p w:rsidR="00C97C33" w:rsidRPr="00C97C33" w:rsidRDefault="00C97C33" w:rsidP="00C97C33">
            <w:pPr>
              <w:pStyle w:val="TableParagraph"/>
              <w:ind w:right="77"/>
              <w:jc w:val="both"/>
              <w:rPr>
                <w:sz w:val="24"/>
              </w:rPr>
            </w:pPr>
            <w:r w:rsidRPr="00C97C33">
              <w:rPr>
                <w:sz w:val="24"/>
              </w:rPr>
              <w:t>que fue coordinador.</w:t>
            </w:r>
          </w:p>
          <w:p w:rsidR="00C97C33" w:rsidRPr="00C97C33" w:rsidRDefault="00C97C33" w:rsidP="00C97C33">
            <w:pPr>
              <w:pStyle w:val="TableParagraph"/>
              <w:ind w:right="77"/>
              <w:jc w:val="both"/>
              <w:rPr>
                <w:sz w:val="24"/>
              </w:rPr>
            </w:pPr>
            <w:r w:rsidRPr="00C97C33">
              <w:rPr>
                <w:sz w:val="24"/>
              </w:rPr>
              <w:t>5) Contratos Atípicos y Conexidad Contractual, Porrúa, México 2016.</w:t>
            </w:r>
          </w:p>
          <w:p w:rsidR="00C97C33" w:rsidRDefault="00C97C33" w:rsidP="00C97C33">
            <w:pPr>
              <w:pStyle w:val="TableParagraph"/>
              <w:ind w:right="77"/>
              <w:jc w:val="both"/>
              <w:rPr>
                <w:b/>
                <w:sz w:val="24"/>
              </w:rPr>
            </w:pPr>
            <w:r w:rsidRPr="00C97C33">
              <w:rPr>
                <w:sz w:val="24"/>
              </w:rPr>
              <w:t>6) Contratos Civiles, Oxford, México 2016</w:t>
            </w:r>
          </w:p>
        </w:tc>
      </w:tr>
    </w:tbl>
    <w:p w:rsidR="00610627" w:rsidRDefault="00610627">
      <w:pPr>
        <w:pStyle w:val="Textoindependiente"/>
        <w:rPr>
          <w:sz w:val="20"/>
        </w:rPr>
      </w:pPr>
    </w:p>
    <w:p w:rsidR="00610627" w:rsidRDefault="00610627">
      <w:pPr>
        <w:pStyle w:val="Textoindependiente"/>
        <w:rPr>
          <w:sz w:val="20"/>
        </w:rPr>
      </w:pPr>
    </w:p>
    <w:p w:rsidR="00610627" w:rsidRDefault="00D353DC">
      <w:pPr>
        <w:pStyle w:val="Textoindependiente"/>
        <w:spacing w:before="1"/>
        <w:rPr>
          <w:sz w:val="13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914400</wp:posOffset>
            </wp:positionH>
            <wp:positionV relativeFrom="paragraph">
              <wp:posOffset>125040</wp:posOffset>
            </wp:positionV>
            <wp:extent cx="433778" cy="56578"/>
            <wp:effectExtent l="0" t="0" r="0" b="0"/>
            <wp:wrapTopAndBottom/>
            <wp:docPr id="7" name="image4.png" descr="guion cor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3778" cy="565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10627">
      <w:headerReference w:type="default" r:id="rId9"/>
      <w:footerReference w:type="default" r:id="rId10"/>
      <w:pgSz w:w="12240" w:h="15840"/>
      <w:pgMar w:top="580" w:right="1300" w:bottom="1040" w:left="1320" w:header="0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69BE" w:rsidRDefault="000369BE">
      <w:r>
        <w:separator/>
      </w:r>
    </w:p>
  </w:endnote>
  <w:endnote w:type="continuationSeparator" w:id="0">
    <w:p w:rsidR="000369BE" w:rsidRDefault="000369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roxima Nova">
    <w:altName w:val="Tahoma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0627" w:rsidRDefault="00D353DC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7728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9701570</wp:posOffset>
          </wp:positionV>
          <wp:extent cx="7772399" cy="356827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772399" cy="3568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741A3"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>
              <wp:simplePos x="0" y="0"/>
              <wp:positionH relativeFrom="page">
                <wp:posOffset>6744970</wp:posOffset>
              </wp:positionH>
              <wp:positionV relativeFrom="page">
                <wp:posOffset>9378315</wp:posOffset>
              </wp:positionV>
              <wp:extent cx="153035" cy="19494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94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0627" w:rsidRDefault="00D353DC">
                          <w:pPr>
                            <w:pStyle w:val="Textoindependiente"/>
                            <w:spacing w:before="2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1.1pt;margin-top:738.45pt;width:12.05pt;height:15.3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" filled="f" stroked="f">
              <v:textbox inset="0,0,0,0">
                <w:txbxContent>
                  <w:p w:rsidR="00610627" w:rsidRDefault="00D353DC">
                    <w:pPr>
                      <w:pStyle w:val="Textoindependiente"/>
                      <w:spacing w:before="2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69BE" w:rsidRDefault="000369BE">
      <w:r>
        <w:separator/>
      </w:r>
    </w:p>
  </w:footnote>
  <w:footnote w:type="continuationSeparator" w:id="0">
    <w:p w:rsidR="000369BE" w:rsidRDefault="000369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0627" w:rsidRDefault="00D353DC">
    <w:pPr>
      <w:pStyle w:val="Textoindependiente"/>
      <w:spacing w:line="14" w:lineRule="auto"/>
      <w:rPr>
        <w:sz w:val="5"/>
      </w:rPr>
    </w:pPr>
    <w:r>
      <w:rPr>
        <w:noProof/>
      </w:rPr>
      <w:drawing>
        <wp:anchor distT="0" distB="0" distL="0" distR="0" simplePos="0" relativeHeight="251656704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772399" cy="29209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772399" cy="292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CC47B1"/>
    <w:multiLevelType w:val="hybridMultilevel"/>
    <w:tmpl w:val="1422D32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FA7F8B"/>
    <w:multiLevelType w:val="hybridMultilevel"/>
    <w:tmpl w:val="7966C528"/>
    <w:lvl w:ilvl="0" w:tplc="21C03F84">
      <w:start w:val="1"/>
      <w:numFmt w:val="decimal"/>
      <w:lvlText w:val="%1."/>
      <w:lvlJc w:val="left"/>
      <w:pPr>
        <w:ind w:left="820" w:hanging="360"/>
      </w:pPr>
      <w:rPr>
        <w:rFonts w:ascii="Calibri" w:eastAsia="Calibri" w:hAnsi="Calibri" w:cs="Calibri" w:hint="default"/>
        <w:w w:val="100"/>
        <w:sz w:val="24"/>
        <w:szCs w:val="24"/>
        <w:lang w:val="es-ES" w:eastAsia="en-US" w:bidi="ar-SA"/>
      </w:rPr>
    </w:lvl>
    <w:lvl w:ilvl="1" w:tplc="28F81790">
      <w:numFmt w:val="bullet"/>
      <w:lvlText w:val="•"/>
      <w:lvlJc w:val="left"/>
      <w:pPr>
        <w:ind w:left="1672" w:hanging="360"/>
      </w:pPr>
      <w:rPr>
        <w:rFonts w:hint="default"/>
        <w:lang w:val="es-ES" w:eastAsia="en-US" w:bidi="ar-SA"/>
      </w:rPr>
    </w:lvl>
    <w:lvl w:ilvl="2" w:tplc="5628B084">
      <w:numFmt w:val="bullet"/>
      <w:lvlText w:val="•"/>
      <w:lvlJc w:val="left"/>
      <w:pPr>
        <w:ind w:left="2524" w:hanging="360"/>
      </w:pPr>
      <w:rPr>
        <w:rFonts w:hint="default"/>
        <w:lang w:val="es-ES" w:eastAsia="en-US" w:bidi="ar-SA"/>
      </w:rPr>
    </w:lvl>
    <w:lvl w:ilvl="3" w:tplc="5676420E">
      <w:numFmt w:val="bullet"/>
      <w:lvlText w:val="•"/>
      <w:lvlJc w:val="left"/>
      <w:pPr>
        <w:ind w:left="3376" w:hanging="360"/>
      </w:pPr>
      <w:rPr>
        <w:rFonts w:hint="default"/>
        <w:lang w:val="es-ES" w:eastAsia="en-US" w:bidi="ar-SA"/>
      </w:rPr>
    </w:lvl>
    <w:lvl w:ilvl="4" w:tplc="9C94830E">
      <w:numFmt w:val="bullet"/>
      <w:lvlText w:val="•"/>
      <w:lvlJc w:val="left"/>
      <w:pPr>
        <w:ind w:left="4228" w:hanging="360"/>
      </w:pPr>
      <w:rPr>
        <w:rFonts w:hint="default"/>
        <w:lang w:val="es-ES" w:eastAsia="en-US" w:bidi="ar-SA"/>
      </w:rPr>
    </w:lvl>
    <w:lvl w:ilvl="5" w:tplc="29224914">
      <w:numFmt w:val="bullet"/>
      <w:lvlText w:val="•"/>
      <w:lvlJc w:val="left"/>
      <w:pPr>
        <w:ind w:left="5081" w:hanging="360"/>
      </w:pPr>
      <w:rPr>
        <w:rFonts w:hint="default"/>
        <w:lang w:val="es-ES" w:eastAsia="en-US" w:bidi="ar-SA"/>
      </w:rPr>
    </w:lvl>
    <w:lvl w:ilvl="6" w:tplc="030E869C">
      <w:numFmt w:val="bullet"/>
      <w:lvlText w:val="•"/>
      <w:lvlJc w:val="left"/>
      <w:pPr>
        <w:ind w:left="5933" w:hanging="360"/>
      </w:pPr>
      <w:rPr>
        <w:rFonts w:hint="default"/>
        <w:lang w:val="es-ES" w:eastAsia="en-US" w:bidi="ar-SA"/>
      </w:rPr>
    </w:lvl>
    <w:lvl w:ilvl="7" w:tplc="85D49A46">
      <w:numFmt w:val="bullet"/>
      <w:lvlText w:val="•"/>
      <w:lvlJc w:val="left"/>
      <w:pPr>
        <w:ind w:left="6785" w:hanging="360"/>
      </w:pPr>
      <w:rPr>
        <w:rFonts w:hint="default"/>
        <w:lang w:val="es-ES" w:eastAsia="en-US" w:bidi="ar-SA"/>
      </w:rPr>
    </w:lvl>
    <w:lvl w:ilvl="8" w:tplc="EB722208">
      <w:numFmt w:val="bullet"/>
      <w:lvlText w:val="•"/>
      <w:lvlJc w:val="left"/>
      <w:pPr>
        <w:ind w:left="7637" w:hanging="360"/>
      </w:pPr>
      <w:rPr>
        <w:rFonts w:hint="default"/>
        <w:lang w:val="es-ES" w:eastAsia="en-US" w:bidi="ar-SA"/>
      </w:rPr>
    </w:lvl>
  </w:abstractNum>
  <w:abstractNum w:abstractNumId="2" w15:restartNumberingAfterBreak="0">
    <w:nsid w:val="324239AD"/>
    <w:multiLevelType w:val="hybridMultilevel"/>
    <w:tmpl w:val="CAAEEC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054AFA"/>
    <w:multiLevelType w:val="hybridMultilevel"/>
    <w:tmpl w:val="37668CF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627"/>
    <w:rsid w:val="00000601"/>
    <w:rsid w:val="000369BE"/>
    <w:rsid w:val="0020463C"/>
    <w:rsid w:val="002113CA"/>
    <w:rsid w:val="002C4E97"/>
    <w:rsid w:val="002F353D"/>
    <w:rsid w:val="00300559"/>
    <w:rsid w:val="004579F9"/>
    <w:rsid w:val="00574C18"/>
    <w:rsid w:val="005800BE"/>
    <w:rsid w:val="005C4144"/>
    <w:rsid w:val="006056AE"/>
    <w:rsid w:val="00610627"/>
    <w:rsid w:val="00791C9F"/>
    <w:rsid w:val="007F1281"/>
    <w:rsid w:val="00801D2F"/>
    <w:rsid w:val="0094746D"/>
    <w:rsid w:val="0097715F"/>
    <w:rsid w:val="00A754EB"/>
    <w:rsid w:val="00B7512B"/>
    <w:rsid w:val="00B80413"/>
    <w:rsid w:val="00BC3592"/>
    <w:rsid w:val="00BF5180"/>
    <w:rsid w:val="00C960E3"/>
    <w:rsid w:val="00C97C33"/>
    <w:rsid w:val="00D353DC"/>
    <w:rsid w:val="00F64C0A"/>
    <w:rsid w:val="00F74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537250"/>
  <w15:docId w15:val="{984E4C59-895F-4173-A12C-9B8CDAE00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rFonts w:ascii="Tahoma" w:eastAsia="Tahoma" w:hAnsi="Tahoma" w:cs="Tahoma"/>
    </w:rPr>
  </w:style>
  <w:style w:type="paragraph" w:styleId="Ttulo">
    <w:name w:val="Title"/>
    <w:basedOn w:val="Normal"/>
    <w:uiPriority w:val="10"/>
    <w:qFormat/>
    <w:pPr>
      <w:spacing w:line="434" w:lineRule="exact"/>
      <w:ind w:left="120"/>
    </w:pPr>
    <w:rPr>
      <w:rFonts w:ascii="Tahoma" w:eastAsia="Tahoma" w:hAnsi="Tahoma" w:cs="Tahoma"/>
      <w:b/>
      <w:bCs/>
      <w:sz w:val="36"/>
      <w:szCs w:val="36"/>
    </w:rPr>
  </w:style>
  <w:style w:type="paragraph" w:styleId="Prrafodelista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  <w:pPr>
      <w:spacing w:before="100"/>
      <w:ind w:left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586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474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Edith Bracamontes</dc:creator>
  <cp:lastModifiedBy>Mtro. Hesed</cp:lastModifiedBy>
  <cp:revision>2</cp:revision>
  <dcterms:created xsi:type="dcterms:W3CDTF">2026-06-22T21:05:00Z</dcterms:created>
  <dcterms:modified xsi:type="dcterms:W3CDTF">2026-06-22T21:05:00Z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2022-06-15T00:00:00Z</vt:filetime>
  </property>
</Properties>
</file>